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0838" w14:textId="7DABE724" w:rsidR="00772E4D" w:rsidRDefault="00772E4D" w:rsidP="00772E4D">
      <w:pPr>
        <w:jc w:val="center"/>
        <w:rPr>
          <w:b/>
          <w:bCs/>
        </w:rPr>
      </w:pPr>
      <w:r>
        <w:rPr>
          <w:b/>
          <w:bCs/>
        </w:rPr>
        <w:t>ASCC Arts and Humanities 1 Subcommittee</w:t>
      </w:r>
    </w:p>
    <w:p w14:paraId="1BEB5906" w14:textId="173E7CF8" w:rsidR="00772E4D" w:rsidRDefault="005C7F56" w:rsidP="00772E4D">
      <w:pPr>
        <w:jc w:val="center"/>
      </w:pPr>
      <w:r>
        <w:t>A</w:t>
      </w:r>
      <w:r w:rsidR="00E932CA">
        <w:t>pproved</w:t>
      </w:r>
      <w:r w:rsidR="00772E4D">
        <w:t xml:space="preserve"> Minutes</w:t>
      </w:r>
    </w:p>
    <w:p w14:paraId="48DBF4EF" w14:textId="77777777" w:rsidR="00772E4D" w:rsidRDefault="00772E4D" w:rsidP="00772E4D">
      <w:pPr>
        <w:jc w:val="center"/>
      </w:pPr>
    </w:p>
    <w:p w14:paraId="5AE92A47" w14:textId="2A0B58BA" w:rsidR="00772E4D" w:rsidRDefault="004155B4" w:rsidP="00772E4D">
      <w:r>
        <w:t>Friday</w:t>
      </w:r>
      <w:r w:rsidR="00772E4D">
        <w:t>, February 2</w:t>
      </w:r>
      <w:r>
        <w:t>8</w:t>
      </w:r>
      <w:r w:rsidR="00772E4D" w:rsidRPr="00772E4D">
        <w:rPr>
          <w:vertAlign w:val="superscript"/>
        </w:rPr>
        <w:t>th</w:t>
      </w:r>
      <w:r w:rsidR="00772E4D">
        <w:t xml:space="preserve">, </w:t>
      </w:r>
      <w:proofErr w:type="gramStart"/>
      <w:r w:rsidR="00772E4D">
        <w:t>2025</w:t>
      </w:r>
      <w:proofErr w:type="gramEnd"/>
      <w:r w:rsidR="00772E4D">
        <w:tab/>
      </w:r>
      <w:r w:rsidR="00772E4D">
        <w:tab/>
      </w:r>
      <w:r w:rsidR="00772E4D">
        <w:tab/>
      </w:r>
      <w:r w:rsidR="00772E4D">
        <w:tab/>
      </w:r>
      <w:r w:rsidR="00772E4D">
        <w:tab/>
      </w:r>
      <w:r w:rsidR="00772E4D">
        <w:tab/>
        <w:t xml:space="preserve">     </w:t>
      </w:r>
      <w:r>
        <w:t xml:space="preserve">               9:30AM – 11:00AM</w:t>
      </w:r>
    </w:p>
    <w:p w14:paraId="0C9BDBAF" w14:textId="59E7D155" w:rsidR="00772E4D" w:rsidRDefault="00772E4D" w:rsidP="00772E4D">
      <w:proofErr w:type="spellStart"/>
      <w:r>
        <w:t>CarmenZoom</w:t>
      </w:r>
      <w:proofErr w:type="spellEnd"/>
    </w:p>
    <w:p w14:paraId="6F29CBEC" w14:textId="77777777" w:rsidR="00772E4D" w:rsidRDefault="00772E4D" w:rsidP="00772E4D"/>
    <w:p w14:paraId="3E20D8E3" w14:textId="6F135289" w:rsidR="00772E4D" w:rsidRPr="004155B4" w:rsidRDefault="00772E4D" w:rsidP="00772E4D">
      <w:r>
        <w:rPr>
          <w:b/>
          <w:bCs/>
        </w:rPr>
        <w:t xml:space="preserve">Attendees: </w:t>
      </w:r>
      <w:r w:rsidR="004155B4">
        <w:t>Bitters, Beecher, Dugdale, Hedgecoth, Hilty, Steele, Vankeerbergen</w:t>
      </w:r>
    </w:p>
    <w:p w14:paraId="3FB5A7D1" w14:textId="77777777" w:rsidR="00772E4D" w:rsidRDefault="00772E4D" w:rsidP="00772E4D"/>
    <w:p w14:paraId="4426C781" w14:textId="4E8E4B39" w:rsidR="00772E4D" w:rsidRDefault="00772E4D" w:rsidP="00772E4D">
      <w:pPr>
        <w:pStyle w:val="ListParagraph"/>
        <w:numPr>
          <w:ilvl w:val="0"/>
          <w:numId w:val="1"/>
        </w:numPr>
      </w:pPr>
      <w:r>
        <w:t>Approval of 02/11/2025 Minutes</w:t>
      </w:r>
    </w:p>
    <w:p w14:paraId="50FC0AD4" w14:textId="4BE85988" w:rsidR="00772E4D" w:rsidRDefault="004155B4" w:rsidP="00772E4D">
      <w:pPr>
        <w:pStyle w:val="ListParagraph"/>
        <w:numPr>
          <w:ilvl w:val="1"/>
          <w:numId w:val="1"/>
        </w:numPr>
      </w:pPr>
      <w:r>
        <w:t xml:space="preserve">Hedgecoth, Beecher, </w:t>
      </w:r>
      <w:r>
        <w:rPr>
          <w:b/>
          <w:bCs/>
        </w:rPr>
        <w:t xml:space="preserve">unanimously approved </w:t>
      </w:r>
    </w:p>
    <w:p w14:paraId="0114FA33" w14:textId="2573E5A6" w:rsidR="00772E4D" w:rsidRDefault="00772E4D" w:rsidP="00772E4D">
      <w:pPr>
        <w:pStyle w:val="ListParagraph"/>
        <w:numPr>
          <w:ilvl w:val="0"/>
          <w:numId w:val="1"/>
        </w:numPr>
      </w:pPr>
      <w:r>
        <w:t xml:space="preserve">First-year Seminar “Music Everywhere” – A. Lindo </w:t>
      </w:r>
    </w:p>
    <w:p w14:paraId="58D63B24" w14:textId="3707D648" w:rsidR="004155B4" w:rsidRDefault="004155B4" w:rsidP="00772E4D">
      <w:pPr>
        <w:pStyle w:val="ListParagraph"/>
        <w:numPr>
          <w:ilvl w:val="1"/>
          <w:numId w:val="1"/>
        </w:numPr>
        <w:rPr>
          <w:b/>
          <w:bCs/>
        </w:rPr>
      </w:pPr>
      <w:r>
        <w:rPr>
          <w:b/>
          <w:bCs/>
        </w:rPr>
        <w:t xml:space="preserve">The Subcommittee would like to see additional information in the course syllabus about the mini ethnography assignment. Specifically, they would like to see the parameters of the assignments and how students will be supported in completion of this assignment. While they believe this to be a wonderful introduction to ethnography for students, they are concerned that new, first-year students will not be successful in this assignment without appropriate guidance and parameters within the syllabus. </w:t>
      </w:r>
    </w:p>
    <w:p w14:paraId="5EE99BDF" w14:textId="764F3CA3" w:rsidR="00772E4D" w:rsidRPr="004155B4" w:rsidRDefault="00772E4D" w:rsidP="00772E4D">
      <w:pPr>
        <w:pStyle w:val="ListParagraph"/>
        <w:numPr>
          <w:ilvl w:val="1"/>
          <w:numId w:val="1"/>
        </w:numPr>
        <w:rPr>
          <w:b/>
          <w:bCs/>
        </w:rPr>
      </w:pPr>
      <w:r w:rsidRPr="004155B4">
        <w:rPr>
          <w:b/>
          <w:bCs/>
        </w:rPr>
        <w:t>The Subcommittee asks that the syllabus includes the full Religious Accommodations statement</w:t>
      </w:r>
      <w:r w:rsidR="004155B4">
        <w:rPr>
          <w:b/>
          <w:bCs/>
        </w:rPr>
        <w:t xml:space="preserve"> (syllabus page 4 is only part of the statement)</w:t>
      </w:r>
      <w:r w:rsidRPr="004155B4">
        <w:rPr>
          <w:b/>
          <w:bCs/>
        </w:rPr>
        <w:t xml:space="preserve">, per a requirement of the university of all syllabi. Currently, on page 4 of the syllabus, the statement is incomplete. You may find the most up-to-date Religious Accommodations statement on the </w:t>
      </w:r>
      <w:hyperlink r:id="rId5" w:history="1">
        <w:r w:rsidRPr="004155B4">
          <w:rPr>
            <w:rStyle w:val="Hyperlink"/>
            <w:b/>
            <w:bCs/>
          </w:rPr>
          <w:t>ASC Curriculum and Assessment Services website</w:t>
        </w:r>
      </w:hyperlink>
      <w:r w:rsidRPr="004155B4">
        <w:rPr>
          <w:b/>
          <w:bCs/>
        </w:rPr>
        <w:t xml:space="preserve">. </w:t>
      </w:r>
    </w:p>
    <w:p w14:paraId="115D116F" w14:textId="14A0C26B" w:rsidR="00772E4D" w:rsidRDefault="00772E4D" w:rsidP="00772E4D">
      <w:pPr>
        <w:pStyle w:val="ListParagraph"/>
        <w:numPr>
          <w:ilvl w:val="1"/>
          <w:numId w:val="1"/>
        </w:numPr>
        <w:rPr>
          <w:i/>
          <w:iCs/>
        </w:rPr>
      </w:pPr>
      <w:r w:rsidRPr="004155B4">
        <w:rPr>
          <w:i/>
          <w:iCs/>
        </w:rPr>
        <w:t xml:space="preserve">The Subcommittee recommends updating the Mental Health and Title IX statements (as found on page 4 of the syllabus). For the Mental Health statement, the National Suicide Prevention Hotline has changed. For the Title IX statement, Kellie Brennan is no longer the Title IX coordinator. You may find the updated syllabi statements on the </w:t>
      </w:r>
      <w:hyperlink r:id="rId6" w:history="1">
        <w:r w:rsidRPr="004155B4">
          <w:rPr>
            <w:rStyle w:val="Hyperlink"/>
            <w:i/>
            <w:iCs/>
          </w:rPr>
          <w:t>ASC Curriculum and Assessment Services website</w:t>
        </w:r>
      </w:hyperlink>
      <w:r w:rsidRPr="004155B4">
        <w:rPr>
          <w:i/>
          <w:iCs/>
        </w:rPr>
        <w:t xml:space="preserve">. </w:t>
      </w:r>
    </w:p>
    <w:p w14:paraId="1CA1CB00" w14:textId="40349A34" w:rsidR="004155B4" w:rsidRPr="004155B4" w:rsidRDefault="004155B4" w:rsidP="00772E4D">
      <w:pPr>
        <w:pStyle w:val="ListParagraph"/>
        <w:numPr>
          <w:ilvl w:val="1"/>
          <w:numId w:val="1"/>
        </w:numPr>
        <w:rPr>
          <w:i/>
          <w:iCs/>
        </w:rPr>
      </w:pPr>
      <w:r>
        <w:t xml:space="preserve">Hedgecoth, Beecher, </w:t>
      </w:r>
      <w:r>
        <w:rPr>
          <w:b/>
          <w:bCs/>
        </w:rPr>
        <w:t xml:space="preserve">unanimously approved </w:t>
      </w:r>
      <w:r>
        <w:t xml:space="preserve">with </w:t>
      </w:r>
      <w:r>
        <w:rPr>
          <w:b/>
          <w:bCs/>
        </w:rPr>
        <w:t xml:space="preserve">two contingencies </w:t>
      </w:r>
      <w:r>
        <w:t xml:space="preserve">(in bold above) and </w:t>
      </w:r>
      <w:r>
        <w:rPr>
          <w:i/>
          <w:iCs/>
        </w:rPr>
        <w:t xml:space="preserve">one recommendation </w:t>
      </w:r>
      <w:r>
        <w:t xml:space="preserve">(in italics above) </w:t>
      </w:r>
    </w:p>
    <w:p w14:paraId="25A66520" w14:textId="6CC8FAB1" w:rsidR="004155B4" w:rsidRPr="004B4449" w:rsidRDefault="004155B4" w:rsidP="004155B4">
      <w:pPr>
        <w:pStyle w:val="ListParagraph"/>
        <w:numPr>
          <w:ilvl w:val="0"/>
          <w:numId w:val="1"/>
        </w:numPr>
        <w:rPr>
          <w:i/>
          <w:iCs/>
        </w:rPr>
      </w:pPr>
      <w:r>
        <w:lastRenderedPageBreak/>
        <w:t>Linguistics 3804 (</w:t>
      </w:r>
      <w:r w:rsidR="004B4449">
        <w:t xml:space="preserve">new course; return; no longer requesting GEN Theme: Number, Nature, Mind) </w:t>
      </w:r>
    </w:p>
    <w:p w14:paraId="22A7CDB0" w14:textId="3DBDC471" w:rsidR="004B4449" w:rsidRPr="004B4449" w:rsidRDefault="004B4449" w:rsidP="004B4449">
      <w:pPr>
        <w:pStyle w:val="ListParagraph"/>
        <w:numPr>
          <w:ilvl w:val="1"/>
          <w:numId w:val="1"/>
        </w:numPr>
        <w:rPr>
          <w:i/>
          <w:iCs/>
        </w:rPr>
      </w:pPr>
      <w:r>
        <w:t xml:space="preserve">Beecher, Hedgecoth, </w:t>
      </w:r>
      <w:r>
        <w:rPr>
          <w:b/>
          <w:bCs/>
        </w:rPr>
        <w:t xml:space="preserve">unanimously approved </w:t>
      </w:r>
    </w:p>
    <w:p w14:paraId="30B404E1" w14:textId="49358FC0" w:rsidR="004B4449" w:rsidRPr="004B4449" w:rsidRDefault="004B4449" w:rsidP="004B4449">
      <w:pPr>
        <w:pStyle w:val="ListParagraph"/>
        <w:numPr>
          <w:ilvl w:val="0"/>
          <w:numId w:val="1"/>
        </w:numPr>
        <w:rPr>
          <w:i/>
          <w:iCs/>
        </w:rPr>
      </w:pPr>
      <w:r>
        <w:t xml:space="preserve">AI Ethics and Society Certificate (new undergraduate certificate types 1a, 1b, and 2) </w:t>
      </w:r>
    </w:p>
    <w:p w14:paraId="10442CA7" w14:textId="75893C26" w:rsidR="004B4449" w:rsidRPr="009A0C14" w:rsidRDefault="00B10553" w:rsidP="004B4449">
      <w:pPr>
        <w:pStyle w:val="ListParagraph"/>
        <w:numPr>
          <w:ilvl w:val="1"/>
          <w:numId w:val="1"/>
        </w:numPr>
        <w:rPr>
          <w:i/>
          <w:iCs/>
        </w:rPr>
      </w:pPr>
      <w:r>
        <w:t xml:space="preserve">The Subcommittee would like to note their appreciation for the timeliness of this certificate program and believes this program will have significant, positive impacts on students </w:t>
      </w:r>
      <w:r w:rsidR="009A0C14">
        <w:t xml:space="preserve">as they complete the program. </w:t>
      </w:r>
    </w:p>
    <w:p w14:paraId="1402737A" w14:textId="7D1100C1" w:rsidR="009A0C14" w:rsidRPr="009A0C14" w:rsidRDefault="009A0C14" w:rsidP="004B4449">
      <w:pPr>
        <w:pStyle w:val="ListParagraph"/>
        <w:numPr>
          <w:ilvl w:val="1"/>
          <w:numId w:val="1"/>
        </w:numPr>
        <w:rPr>
          <w:i/>
          <w:iCs/>
        </w:rPr>
      </w:pPr>
      <w:r>
        <w:t>The Subcommittee would like to see the Advanced Computing Center for the Arts and Design (ACCAD) consulted regarding their capacity for students to enroll within ACCAD 5141 (or, if they have been</w:t>
      </w:r>
      <w:r w:rsidR="0056059B">
        <w:t xml:space="preserve"> consulted</w:t>
      </w:r>
      <w:r>
        <w:t xml:space="preserve">, </w:t>
      </w:r>
      <w:r w:rsidR="0056059B">
        <w:t xml:space="preserve">a summary </w:t>
      </w:r>
      <w:r>
        <w:t xml:space="preserve">of that conversation). </w:t>
      </w:r>
      <w:r w:rsidR="0056059B">
        <w:t>G</w:t>
      </w:r>
      <w:r>
        <w:t xml:space="preserve">iven the limited studio space within ACCAD, </w:t>
      </w:r>
      <w:r w:rsidR="0056059B">
        <w:t xml:space="preserve">the subcommittee worries that ACCAD </w:t>
      </w:r>
      <w:r>
        <w:t xml:space="preserve">will be unable to accommodate the </w:t>
      </w:r>
      <w:r w:rsidR="0056059B">
        <w:t xml:space="preserve">increased </w:t>
      </w:r>
      <w:r>
        <w:t xml:space="preserve">number of students enrolling due to this program. </w:t>
      </w:r>
    </w:p>
    <w:p w14:paraId="14B07C75" w14:textId="5038BBCE" w:rsidR="009A0C14" w:rsidRPr="009A0C14" w:rsidRDefault="009A0C14" w:rsidP="004B4449">
      <w:pPr>
        <w:pStyle w:val="ListParagraph"/>
        <w:numPr>
          <w:ilvl w:val="1"/>
          <w:numId w:val="1"/>
        </w:numPr>
        <w:rPr>
          <w:i/>
          <w:iCs/>
        </w:rPr>
      </w:pPr>
      <w:r>
        <w:t xml:space="preserve">The Subcommittee notes that under section 5, “Curriculum Map” on pages 7-8 of the proposal, there is a potential pathway for students to not engage </w:t>
      </w:r>
      <w:r w:rsidR="00D30460">
        <w:t xml:space="preserve">with </w:t>
      </w:r>
      <w:r>
        <w:t>and complete program ELO 4. Specifically, if a student completes the electives ACCAD 5141, PHILOS 2338, and GEOG 5502, this sequence will not afford students the opportunity to complete ELO</w:t>
      </w:r>
      <w:r w:rsidR="00D30460">
        <w:t xml:space="preserve"> 4</w:t>
      </w:r>
      <w:r>
        <w:t xml:space="preserve">. The Subcommittee asks that this be addressed within the proposal. </w:t>
      </w:r>
    </w:p>
    <w:p w14:paraId="0D2C4156" w14:textId="6F8CF6BC" w:rsidR="009A0C14" w:rsidRPr="009A0C14" w:rsidRDefault="009A0C14" w:rsidP="004B4449">
      <w:pPr>
        <w:pStyle w:val="ListParagraph"/>
        <w:numPr>
          <w:ilvl w:val="1"/>
          <w:numId w:val="1"/>
        </w:numPr>
        <w:rPr>
          <w:i/>
          <w:iCs/>
        </w:rPr>
      </w:pPr>
      <w:r>
        <w:t xml:space="preserve">The Subcommittee notes that, underneath section 3, “Relationship to Other Programs / Benchmarking”, none of the “Links” (pages 3-5) link to the described programs. They ask that this be corrected. </w:t>
      </w:r>
    </w:p>
    <w:p w14:paraId="464A0949" w14:textId="72C00511" w:rsidR="009A0C14" w:rsidRPr="00E932CA" w:rsidRDefault="009A0C14" w:rsidP="004B4449">
      <w:pPr>
        <w:pStyle w:val="ListParagraph"/>
        <w:numPr>
          <w:ilvl w:val="1"/>
          <w:numId w:val="1"/>
        </w:numPr>
        <w:rPr>
          <w:i/>
          <w:iCs/>
        </w:rPr>
      </w:pPr>
      <w:r>
        <w:t xml:space="preserve">The Subcommittee notes that underneath section 3, “Relationship to Other Programs / Benchmarking”, the second bullet point regarding the program at Penn State University – Great Valley mentions that this is a </w:t>
      </w:r>
      <w:r>
        <w:rPr>
          <w:i/>
          <w:iCs/>
        </w:rPr>
        <w:t xml:space="preserve">15-credit hour </w:t>
      </w:r>
      <w:r>
        <w:t xml:space="preserve">program in 5 weeks. However, this program is not </w:t>
      </w:r>
      <w:r>
        <w:rPr>
          <w:i/>
          <w:iCs/>
        </w:rPr>
        <w:t xml:space="preserve">15-credit hours </w:t>
      </w:r>
      <w:r>
        <w:t xml:space="preserve">but rather </w:t>
      </w:r>
      <w:r>
        <w:rPr>
          <w:i/>
          <w:iCs/>
        </w:rPr>
        <w:t xml:space="preserve">15 total hours </w:t>
      </w:r>
      <w:r>
        <w:t xml:space="preserve">and offers 1.5 continuing education </w:t>
      </w:r>
      <w:r w:rsidR="00876EB8">
        <w:t>units</w:t>
      </w:r>
      <w:r>
        <w:t xml:space="preserve"> (CEUs). They ask that th</w:t>
      </w:r>
      <w:r w:rsidR="00E932CA">
        <w:t>is</w:t>
      </w:r>
      <w:r>
        <w:t xml:space="preserve"> be corrected. </w:t>
      </w:r>
    </w:p>
    <w:p w14:paraId="73669B6D" w14:textId="43BA29E4" w:rsidR="00E932CA" w:rsidRPr="009A0C14" w:rsidRDefault="00E932CA" w:rsidP="00E932CA">
      <w:pPr>
        <w:pStyle w:val="ListParagraph"/>
        <w:numPr>
          <w:ilvl w:val="2"/>
          <w:numId w:val="1"/>
        </w:numPr>
        <w:rPr>
          <w:i/>
          <w:iCs/>
        </w:rPr>
      </w:pPr>
      <w:r>
        <w:t xml:space="preserve">Additionally, the Subcommittee noticed that the program is stated as being from the Great Valley campus. This </w:t>
      </w:r>
      <w:proofErr w:type="gramStart"/>
      <w:r>
        <w:t>particular program</w:t>
      </w:r>
      <w:proofErr w:type="gramEnd"/>
      <w:r>
        <w:t xml:space="preserve"> is also available on the Scranton campus. The proposal should </w:t>
      </w:r>
      <w:proofErr w:type="gramStart"/>
      <w:r>
        <w:t>look into</w:t>
      </w:r>
      <w:proofErr w:type="gramEnd"/>
      <w:r>
        <w:t xml:space="preserve"> which campuses this program is offered through and, at the very least, indicate that this program is not a Penn State University Great Valley program. It may also be worthwhile to consider if the unit would like to include this certificate program within their proposal at all, as the program at Penn State is a non-credit certificate, although that is most certainly to the discretion of the proposing unit. </w:t>
      </w:r>
    </w:p>
    <w:p w14:paraId="7ACA52A4" w14:textId="02881929" w:rsidR="009A0C14" w:rsidRPr="00146B98" w:rsidRDefault="00876EB8" w:rsidP="004B4449">
      <w:pPr>
        <w:pStyle w:val="ListParagraph"/>
        <w:numPr>
          <w:ilvl w:val="1"/>
          <w:numId w:val="1"/>
        </w:numPr>
        <w:rPr>
          <w:i/>
          <w:iCs/>
        </w:rPr>
      </w:pPr>
      <w:r>
        <w:lastRenderedPageBreak/>
        <w:t>The Subcommittee notes that within both the advising sheet (page 11 of the proposal) and underneath section 6, “Data Collection”</w:t>
      </w:r>
      <w:r w:rsidR="00146B98">
        <w:t xml:space="preserve"> (pages 8-10 of the proposal)</w:t>
      </w:r>
      <w:r>
        <w:t xml:space="preserve">, there is mention </w:t>
      </w:r>
      <w:r w:rsidR="00146B98">
        <w:t xml:space="preserve">of students being required to complete </w:t>
      </w:r>
      <w:proofErr w:type="spellStart"/>
      <w:r w:rsidR="00146B98">
        <w:t>PebblePad</w:t>
      </w:r>
      <w:proofErr w:type="spellEnd"/>
      <w:r w:rsidR="00146B98">
        <w:t xml:space="preserve"> reflective exercises as part of the program. The Subcommittee asks that information surrounding this requirement be added to section 5, “Curricular Requirements” (pages 6-8 of the proposal), as this is part of the requirements of the program. </w:t>
      </w:r>
    </w:p>
    <w:p w14:paraId="5D149302" w14:textId="0E9668E8" w:rsidR="00146B98" w:rsidRPr="00D7658A" w:rsidRDefault="00146B98" w:rsidP="004B4449">
      <w:pPr>
        <w:pStyle w:val="ListParagraph"/>
        <w:numPr>
          <w:ilvl w:val="1"/>
          <w:numId w:val="1"/>
        </w:numPr>
        <w:rPr>
          <w:i/>
          <w:iCs/>
        </w:rPr>
      </w:pPr>
      <w:r>
        <w:t>The Subcommittee notes that, within a footnote on page 6 of the proposal, there is mention of the Lin</w:t>
      </w:r>
      <w:r w:rsidR="00D7658A">
        <w:t xml:space="preserve">guistics 3804 requirement being </w:t>
      </w:r>
      <w:r w:rsidR="00D7658A" w:rsidRPr="009F7BEE">
        <w:rPr>
          <w:i/>
          <w:iCs/>
        </w:rPr>
        <w:t>waived</w:t>
      </w:r>
      <w:r w:rsidR="00E932CA">
        <w:t xml:space="preserve"> for students who have completed CSE 3521 or 5052</w:t>
      </w:r>
      <w:r w:rsidR="00D7658A">
        <w:t xml:space="preserve">. The Subcommittee asks that this language be taken out of the </w:t>
      </w:r>
      <w:proofErr w:type="gramStart"/>
      <w:r w:rsidR="00D7658A">
        <w:t>proposal</w:t>
      </w:r>
      <w:proofErr w:type="gramEnd"/>
      <w:r w:rsidR="00D7658A">
        <w:t xml:space="preserve"> and it be </w:t>
      </w:r>
      <w:proofErr w:type="gramStart"/>
      <w:r w:rsidR="00D7658A">
        <w:t>reworded</w:t>
      </w:r>
      <w:proofErr w:type="gramEnd"/>
      <w:r w:rsidR="00D7658A">
        <w:t xml:space="preserve"> to simply add the additional two computer sciences courses as part of the options for the one required course within the proposal</w:t>
      </w:r>
      <w:r w:rsidR="00E932CA">
        <w:t xml:space="preserve"> (as written in the program form and advising sheet)</w:t>
      </w:r>
      <w:r w:rsidR="00D7658A">
        <w:t>. When a course requirement is waived, th</w:t>
      </w:r>
      <w:r w:rsidR="00E932CA">
        <w:t xml:space="preserve">ere is an indication that the credit hours will not count towards the certificate, which has further implications for overlap with other programs and the number of hours required for a certificate. </w:t>
      </w:r>
    </w:p>
    <w:p w14:paraId="550B9479" w14:textId="3F76D4B0" w:rsidR="00D7658A" w:rsidRPr="00D7658A" w:rsidRDefault="00D7658A" w:rsidP="004B4449">
      <w:pPr>
        <w:pStyle w:val="ListParagraph"/>
        <w:numPr>
          <w:ilvl w:val="1"/>
          <w:numId w:val="1"/>
        </w:numPr>
        <w:rPr>
          <w:i/>
          <w:iCs/>
        </w:rPr>
      </w:pPr>
      <w:r>
        <w:t xml:space="preserve">The Subcommittee asks that the program proposers use the most updated certificate advising sheet, as it was recently updated during the 2024-2025 academic year. The most up-to-date certificate advising sheet template can be found as appendix 5 in the ASC Operations Manual. The ASC Operations Manual can be found on the </w:t>
      </w:r>
      <w:hyperlink r:id="rId7" w:history="1">
        <w:r w:rsidRPr="00E932CA">
          <w:rPr>
            <w:rStyle w:val="Hyperlink"/>
          </w:rPr>
          <w:t>ASC Curriculum and Assessment Services website</w:t>
        </w:r>
      </w:hyperlink>
      <w:r>
        <w:t xml:space="preserve">. </w:t>
      </w:r>
    </w:p>
    <w:p w14:paraId="6EF9FF2B" w14:textId="4BEDE141" w:rsidR="00D7658A" w:rsidRPr="004D5544" w:rsidRDefault="00D7658A" w:rsidP="00D7658A">
      <w:pPr>
        <w:pStyle w:val="ListParagraph"/>
        <w:numPr>
          <w:ilvl w:val="2"/>
          <w:numId w:val="1"/>
        </w:numPr>
        <w:rPr>
          <w:i/>
          <w:iCs/>
        </w:rPr>
      </w:pPr>
      <w:r>
        <w:t xml:space="preserve">Secondarily, the Subcommittee would like to point out that certificate programs can now have up to 100% overlap with a minor, major, other certificate, or GE program. This option is, of course, up to the proposers, but the Subcommittee kindly points out this policy shift in case it is of interest to the proposers. </w:t>
      </w:r>
    </w:p>
    <w:p w14:paraId="0B149592" w14:textId="36DFBF50" w:rsidR="004D5544" w:rsidRPr="00D7658A" w:rsidRDefault="004D5544" w:rsidP="004D5544">
      <w:pPr>
        <w:pStyle w:val="ListParagraph"/>
        <w:numPr>
          <w:ilvl w:val="1"/>
          <w:numId w:val="1"/>
        </w:numPr>
        <w:rPr>
          <w:i/>
          <w:iCs/>
        </w:rPr>
      </w:pPr>
      <w:r>
        <w:t xml:space="preserve">The Subcommittee noted that, on page 6 of the proposal, there is a statement that none the courses have prerequisites. They ask that this statement be removed, as </w:t>
      </w:r>
      <w:r w:rsidR="00B7775B">
        <w:t xml:space="preserve">CSE 3521, CSE 5052, COMPSTD 2340, &amp; PHILOS 2338, all have prerequisites. </w:t>
      </w:r>
    </w:p>
    <w:p w14:paraId="6BB35460" w14:textId="2F2078B2" w:rsidR="00D7658A" w:rsidRPr="00D7658A" w:rsidRDefault="0056059B" w:rsidP="00D7658A">
      <w:pPr>
        <w:pStyle w:val="ListParagraph"/>
        <w:numPr>
          <w:ilvl w:val="1"/>
          <w:numId w:val="1"/>
        </w:numPr>
        <w:rPr>
          <w:i/>
          <w:iCs/>
        </w:rPr>
      </w:pPr>
      <w:r>
        <w:t>When this proposal is resubmitted, t</w:t>
      </w:r>
      <w:r w:rsidR="00D7658A">
        <w:t xml:space="preserve">he Subcommittee asks that a cover letter </w:t>
      </w:r>
      <w:r w:rsidR="00BA0DAD">
        <w:t>detailing all revisions made</w:t>
      </w:r>
      <w:r w:rsidR="00D7658A">
        <w:t xml:space="preserve"> be provided. </w:t>
      </w:r>
    </w:p>
    <w:p w14:paraId="799E3B5E" w14:textId="02CC596E" w:rsidR="00D7658A" w:rsidRPr="004B4449" w:rsidRDefault="00D7658A" w:rsidP="00D7658A">
      <w:pPr>
        <w:pStyle w:val="ListParagraph"/>
        <w:numPr>
          <w:ilvl w:val="1"/>
          <w:numId w:val="1"/>
        </w:numPr>
        <w:rPr>
          <w:i/>
          <w:iCs/>
        </w:rPr>
      </w:pPr>
      <w:r>
        <w:rPr>
          <w:b/>
          <w:bCs/>
        </w:rPr>
        <w:t xml:space="preserve">Declined to Vote </w:t>
      </w:r>
    </w:p>
    <w:p w14:paraId="7BB1342B" w14:textId="620EB45A" w:rsidR="004B4449" w:rsidRPr="004B4449" w:rsidRDefault="004B4449" w:rsidP="004B4449">
      <w:pPr>
        <w:pStyle w:val="ListParagraph"/>
        <w:numPr>
          <w:ilvl w:val="0"/>
          <w:numId w:val="1"/>
        </w:numPr>
        <w:rPr>
          <w:i/>
          <w:iCs/>
        </w:rPr>
      </w:pPr>
      <w:r>
        <w:t xml:space="preserve">History 2003 (new course) </w:t>
      </w:r>
    </w:p>
    <w:p w14:paraId="0438C52A" w14:textId="61FAA990" w:rsidR="004B4449" w:rsidRPr="004B4449" w:rsidRDefault="004B4449" w:rsidP="004B4449">
      <w:pPr>
        <w:pStyle w:val="ListParagraph"/>
        <w:numPr>
          <w:ilvl w:val="1"/>
          <w:numId w:val="1"/>
        </w:numPr>
        <w:rPr>
          <w:i/>
          <w:iCs/>
        </w:rPr>
      </w:pPr>
      <w:r>
        <w:rPr>
          <w:b/>
          <w:bCs/>
        </w:rPr>
        <w:lastRenderedPageBreak/>
        <w:t xml:space="preserve">The Subcommittee asks that the department receive concurrence from the Chase Center. </w:t>
      </w:r>
    </w:p>
    <w:p w14:paraId="272E88D3" w14:textId="36A8F2AC" w:rsidR="004B4449" w:rsidRPr="004155B4" w:rsidRDefault="004B4449" w:rsidP="004B4449">
      <w:pPr>
        <w:pStyle w:val="ListParagraph"/>
        <w:numPr>
          <w:ilvl w:val="1"/>
          <w:numId w:val="1"/>
        </w:numPr>
        <w:rPr>
          <w:i/>
          <w:iCs/>
        </w:rPr>
      </w:pPr>
      <w:r>
        <w:t xml:space="preserve">Beecher, Hedgecoth, </w:t>
      </w:r>
      <w:r>
        <w:rPr>
          <w:b/>
          <w:bCs/>
        </w:rPr>
        <w:t xml:space="preserve">unanimously approved </w:t>
      </w:r>
      <w:r>
        <w:t xml:space="preserve">with </w:t>
      </w:r>
      <w:r>
        <w:rPr>
          <w:b/>
          <w:bCs/>
        </w:rPr>
        <w:t xml:space="preserve">one contingency </w:t>
      </w:r>
      <w:r>
        <w:t xml:space="preserve">(in bold above) </w:t>
      </w:r>
    </w:p>
    <w:sectPr w:rsidR="004B4449" w:rsidRPr="00415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417B4"/>
    <w:multiLevelType w:val="hybridMultilevel"/>
    <w:tmpl w:val="D862AEE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23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4D"/>
    <w:rsid w:val="00005FEF"/>
    <w:rsid w:val="00091AA9"/>
    <w:rsid w:val="0010403A"/>
    <w:rsid w:val="00146B98"/>
    <w:rsid w:val="00345984"/>
    <w:rsid w:val="004155B4"/>
    <w:rsid w:val="004B4449"/>
    <w:rsid w:val="004D5544"/>
    <w:rsid w:val="005007EF"/>
    <w:rsid w:val="00542721"/>
    <w:rsid w:val="0056059B"/>
    <w:rsid w:val="005C7F56"/>
    <w:rsid w:val="00772E4D"/>
    <w:rsid w:val="00876EB8"/>
    <w:rsid w:val="009A0C14"/>
    <w:rsid w:val="009F7BEE"/>
    <w:rsid w:val="00A904C2"/>
    <w:rsid w:val="00B10553"/>
    <w:rsid w:val="00B7775B"/>
    <w:rsid w:val="00BA0DAD"/>
    <w:rsid w:val="00D30460"/>
    <w:rsid w:val="00D7658A"/>
    <w:rsid w:val="00D94F70"/>
    <w:rsid w:val="00E932CA"/>
    <w:rsid w:val="00ED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23A2"/>
  <w15:chartTrackingRefBased/>
  <w15:docId w15:val="{4B8AFF67-8C11-4380-8E9D-8A5CBCF0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E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E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E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E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E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E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E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E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E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E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E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E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E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E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E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E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E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E4D"/>
    <w:rPr>
      <w:rFonts w:eastAsiaTheme="majorEastAsia" w:cstheme="majorBidi"/>
      <w:color w:val="272727" w:themeColor="text1" w:themeTint="D8"/>
    </w:rPr>
  </w:style>
  <w:style w:type="paragraph" w:styleId="Title">
    <w:name w:val="Title"/>
    <w:basedOn w:val="Normal"/>
    <w:next w:val="Normal"/>
    <w:link w:val="TitleChar"/>
    <w:uiPriority w:val="10"/>
    <w:qFormat/>
    <w:rsid w:val="00772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E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E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E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E4D"/>
    <w:pPr>
      <w:spacing w:before="160"/>
      <w:jc w:val="center"/>
    </w:pPr>
    <w:rPr>
      <w:i/>
      <w:iCs/>
      <w:color w:val="404040" w:themeColor="text1" w:themeTint="BF"/>
    </w:rPr>
  </w:style>
  <w:style w:type="character" w:customStyle="1" w:styleId="QuoteChar">
    <w:name w:val="Quote Char"/>
    <w:basedOn w:val="DefaultParagraphFont"/>
    <w:link w:val="Quote"/>
    <w:uiPriority w:val="29"/>
    <w:rsid w:val="00772E4D"/>
    <w:rPr>
      <w:i/>
      <w:iCs/>
      <w:color w:val="404040" w:themeColor="text1" w:themeTint="BF"/>
    </w:rPr>
  </w:style>
  <w:style w:type="paragraph" w:styleId="ListParagraph">
    <w:name w:val="List Paragraph"/>
    <w:basedOn w:val="Normal"/>
    <w:uiPriority w:val="34"/>
    <w:qFormat/>
    <w:rsid w:val="00772E4D"/>
    <w:pPr>
      <w:ind w:left="720"/>
      <w:contextualSpacing/>
    </w:pPr>
  </w:style>
  <w:style w:type="character" w:styleId="IntenseEmphasis">
    <w:name w:val="Intense Emphasis"/>
    <w:basedOn w:val="DefaultParagraphFont"/>
    <w:uiPriority w:val="21"/>
    <w:qFormat/>
    <w:rsid w:val="00772E4D"/>
    <w:rPr>
      <w:i/>
      <w:iCs/>
      <w:color w:val="0F4761" w:themeColor="accent1" w:themeShade="BF"/>
    </w:rPr>
  </w:style>
  <w:style w:type="paragraph" w:styleId="IntenseQuote">
    <w:name w:val="Intense Quote"/>
    <w:basedOn w:val="Normal"/>
    <w:next w:val="Normal"/>
    <w:link w:val="IntenseQuoteChar"/>
    <w:uiPriority w:val="30"/>
    <w:qFormat/>
    <w:rsid w:val="00772E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E4D"/>
    <w:rPr>
      <w:i/>
      <w:iCs/>
      <w:color w:val="0F4761" w:themeColor="accent1" w:themeShade="BF"/>
    </w:rPr>
  </w:style>
  <w:style w:type="character" w:styleId="IntenseReference">
    <w:name w:val="Intense Reference"/>
    <w:basedOn w:val="DefaultParagraphFont"/>
    <w:uiPriority w:val="32"/>
    <w:qFormat/>
    <w:rsid w:val="00772E4D"/>
    <w:rPr>
      <w:b/>
      <w:bCs/>
      <w:smallCaps/>
      <w:color w:val="0F4761" w:themeColor="accent1" w:themeShade="BF"/>
      <w:spacing w:val="5"/>
    </w:rPr>
  </w:style>
  <w:style w:type="character" w:styleId="Hyperlink">
    <w:name w:val="Hyperlink"/>
    <w:basedOn w:val="DefaultParagraphFont"/>
    <w:uiPriority w:val="99"/>
    <w:unhideWhenUsed/>
    <w:rsid w:val="004155B4"/>
    <w:rPr>
      <w:color w:val="467886" w:themeColor="hyperlink"/>
      <w:u w:val="single"/>
    </w:rPr>
  </w:style>
  <w:style w:type="character" w:styleId="UnresolvedMention">
    <w:name w:val="Unresolved Mention"/>
    <w:basedOn w:val="DefaultParagraphFont"/>
    <w:uiPriority w:val="99"/>
    <w:semiHidden/>
    <w:unhideWhenUsed/>
    <w:rsid w:val="004155B4"/>
    <w:rPr>
      <w:color w:val="605E5C"/>
      <w:shd w:val="clear" w:color="auto" w:fill="E1DFDD"/>
    </w:rPr>
  </w:style>
  <w:style w:type="paragraph" w:styleId="Revision">
    <w:name w:val="Revision"/>
    <w:hidden/>
    <w:uiPriority w:val="99"/>
    <w:semiHidden/>
    <w:rsid w:val="0056059B"/>
    <w:pPr>
      <w:spacing w:after="0" w:line="240" w:lineRule="auto"/>
    </w:pPr>
  </w:style>
  <w:style w:type="character" w:styleId="CommentReference">
    <w:name w:val="annotation reference"/>
    <w:basedOn w:val="DefaultParagraphFont"/>
    <w:uiPriority w:val="99"/>
    <w:semiHidden/>
    <w:unhideWhenUsed/>
    <w:rsid w:val="0056059B"/>
    <w:rPr>
      <w:sz w:val="16"/>
      <w:szCs w:val="16"/>
    </w:rPr>
  </w:style>
  <w:style w:type="paragraph" w:styleId="CommentText">
    <w:name w:val="annotation text"/>
    <w:basedOn w:val="Normal"/>
    <w:link w:val="CommentTextChar"/>
    <w:uiPriority w:val="99"/>
    <w:unhideWhenUsed/>
    <w:rsid w:val="0056059B"/>
    <w:pPr>
      <w:spacing w:line="240" w:lineRule="auto"/>
    </w:pPr>
    <w:rPr>
      <w:sz w:val="20"/>
      <w:szCs w:val="20"/>
    </w:rPr>
  </w:style>
  <w:style w:type="character" w:customStyle="1" w:styleId="CommentTextChar">
    <w:name w:val="Comment Text Char"/>
    <w:basedOn w:val="DefaultParagraphFont"/>
    <w:link w:val="CommentText"/>
    <w:uiPriority w:val="99"/>
    <w:rsid w:val="0056059B"/>
    <w:rPr>
      <w:sz w:val="20"/>
      <w:szCs w:val="20"/>
    </w:rPr>
  </w:style>
  <w:style w:type="paragraph" w:styleId="CommentSubject">
    <w:name w:val="annotation subject"/>
    <w:basedOn w:val="CommentText"/>
    <w:next w:val="CommentText"/>
    <w:link w:val="CommentSubjectChar"/>
    <w:uiPriority w:val="99"/>
    <w:semiHidden/>
    <w:unhideWhenUsed/>
    <w:rsid w:val="0056059B"/>
    <w:rPr>
      <w:b/>
      <w:bCs/>
    </w:rPr>
  </w:style>
  <w:style w:type="character" w:customStyle="1" w:styleId="CommentSubjectChar">
    <w:name w:val="Comment Subject Char"/>
    <w:basedOn w:val="CommentTextChar"/>
    <w:link w:val="CommentSubject"/>
    <w:uiPriority w:val="99"/>
    <w:semiHidden/>
    <w:rsid w:val="005605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95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ccas.osu.edu/submission/development/submission-materials/asc-operations-man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5"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Hilty, Michael</cp:lastModifiedBy>
  <cp:revision>2</cp:revision>
  <dcterms:created xsi:type="dcterms:W3CDTF">2025-07-01T15:03:00Z</dcterms:created>
  <dcterms:modified xsi:type="dcterms:W3CDTF">2025-07-01T15:03:00Z</dcterms:modified>
</cp:coreProperties>
</file>